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BayUKG (Bayern) — Reisekosten</w:t>
      </w:r>
    </w:p>
    <w:p>
      <w:r>
        <w:rPr>
          <w:color w:val="555555"/>
          <w:sz w:val="18"/>
        </w:rPr>
        <w:t xml:space="preserve">Bayerisches Umzugskostengesetz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Reise der Berechtigten und der zur häuslichen Gemeinschaft gehörenden Personen (Art. 6 Abs. 3 Sätze 2 und 3) von der bisherigen zur neuen Wohnung wird Fahrtkostenerstattung, bei Benutzung eines Kraftfahrzeugs Wegstrecken- und Mitnahmeentschädigung wie bei Dienstreisen gewährt Entsprechendes gilt für eine weitere Reise einer der in Satz 1 genannten Personen vom bisherigen zum neuen Wohnort und zurück. Für jede Reise einer berechtigten Person dürfen nicht mehr als 200 € erstattet werden.</w:t>
      </w:r>
    </w:p>
    <w:p>
      <w:r>
        <w:t xml:space="preserve">(2) Art. 6 Abs. 1 Satz 2 gilt entsprechend.</w:t>
      </w:r>
    </w:p>
    <w:p>
      <w:r>
        <w:rPr>
          <w:color w:val="555555"/>
          <w:sz w:val="17"/>
        </w:rPr>
        <w:t xml:space="preserve">Zitiervorschlag: Art 7 BayUKG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https://recht.nulegal.eu/gesetze/BayUKG/7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