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16 BayUKG (Bayern) — Inkrafttreten</w:t>
      </w:r>
    </w:p>
    <w:p>
      <w:r>
        <w:rPr>
          <w:color w:val="555555"/>
          <w:sz w:val="18"/>
        </w:rPr>
        <w:t xml:space="preserve">Bayerisches Umzugskostengesetz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Juli 2005 in Kraft.</w:t>
      </w:r>
    </w:p>
    <w:p>
      <w:r>
        <w:rPr>
          <w:color w:val="555555"/>
          <w:sz w:val="17"/>
        </w:rPr>
        <w:t xml:space="preserve">Zitiervorschlag: Art 16 BayUKG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https://recht.nulegal.eu/gesetze/BayUKG/16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