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BayUKG (Bayern) — Geltungsbereich</w:t>
      </w:r>
    </w:p>
    <w:p>
      <w:r>
        <w:rPr>
          <w:color w:val="555555"/>
          <w:sz w:val="18"/>
        </w:rPr>
        <w:t xml:space="preserve">Bayerisches Umzugskostengesetz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die Erstattung von Auslagen aus Anlass der in Art. 4 und 11 Abs. 1 bezeichneten Umzüge.</w:t>
      </w:r>
    </w:p>
    <w:p>
      <w:r>
        <w:rPr>
          <w:color w:val="555555"/>
          <w:sz w:val="17"/>
        </w:rPr>
        <w:t xml:space="preserve">Zitiervorschlag: Art 1 BayUKG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https://recht.nulegal.eu/gesetze/BayUKG/1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