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BayUIG (Bayern) — Schutz öffentlicher Belange</w:t>
      </w:r>
    </w:p>
    <w:p>
      <w:r>
        <w:rPr>
          <w:color w:val="555555"/>
          <w:sz w:val="18"/>
        </w:rPr>
        <w:t xml:space="preserve">Bayerisches Umweltinformationsgesetz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das Bekanntgeben der Informationen nachteilige Auswirkungen hätte auf</w:t>
      </w:r>
    </w:p>
    <w:p>
      <w:r>
        <w:t xml:space="preserve">1. die internationalen Beziehungen, die Verteidigung oder die öffentliche Sicherheit,</w:t>
      </w:r>
    </w:p>
    <w:p>
      <w:r>
        <w:t xml:space="preserve">2. die Vertraulichkeit der Beratungen von informationspflichtigen Stellen im Sinn des Art. 2 Abs. 1,</w:t>
      </w:r>
    </w:p>
    <w:p>
      <w:r>
        <w:t xml:space="preserve">3. die Durchführung eines laufenden Gerichtsverfahrens, den Anspruch einer Person auf ein faires Verfahren oder die Durchführung strafrechtlicher, ordnungswidrigkeitenrechtlicher oder disziplinarrechtlicher Ermittlungen oder</w:t>
      </w:r>
    </w:p>
    <w:p>
      <w:r>
        <w:t xml:space="preserve">4. den Zustand der Umwelt und ihre Bestandteile im Sinn des Art. 2 Abs. 2 Nr. 1 oder auf Schutzgüter im Sinn des Art. 2 Abs. 2 Nr. 6,</w:t>
      </w:r>
    </w:p>
    <w:p>
      <w:r>
        <w:t xml:space="preserve">ist der Antrag abzulehnen, es sei denn, das öffentliche Interesse an der Bekanntgabe überwiegt. Der Zugang zu Umweltinformationen über Emissionen kann nicht unter Berufung auf die in Satz 1 Nrn. 2 und 4 genannten Gründe abgelehnt werden.</w:t>
      </w:r>
    </w:p>
    <w:p>
      <w:r>
        <w:t xml:space="preserve">(2) Soweit ein Antrag</w:t>
      </w:r>
    </w:p>
    <w:p>
      <w:r>
        <w:t xml:space="preserve">1. offensichtlich missbräuchlich gestellt wurde,</w:t>
      </w:r>
    </w:p>
    <w:p>
      <w:r>
        <w:t xml:space="preserve">2. sich auf interne Mitteilungen der informationspflichtigen Stellen im Sinn des Art. 2 Abs. 1 bezieht,</w:t>
      </w:r>
    </w:p>
    <w:p>
      <w:r>
        <w:t xml:space="preserve">3. bei einer Stelle, die nicht über die Umweltinformationen verfügt, gestellt wird, sofern er nicht nach Art. 4 Abs. 3 weitergeleitet werden kann,</w:t>
      </w:r>
    </w:p>
    <w:p>
      <w:r>
        <w:t xml:space="preserve">4. sich auf das Zugänglichmachen von Material, das gerade vervollständigt wird, von noch nicht abgeschlossenen Schriftstücken oder noch nicht aufbereiteten Daten bezieht oder</w:t>
      </w:r>
    </w:p>
    <w:p>
      <w:r>
        <w:t xml:space="preserve">5. zu unbestimmt ist und auf Aufforderung der informationspflichtigen Stelle nach Art. 4 Abs. 2 nicht innerhalb einer angemessenen Frist präzisiert wird,</w:t>
      </w:r>
    </w:p>
    <w:p>
      <w:r>
        <w:t xml:space="preserve">ist er abzulehnen, es sei denn, das öffentliche Interesse an der Bekanntgabe überwiegt. Die Voraussetzungen nach Satz 1 Nr. 2 sind insbesondere gegeben, soweit ein Antrag sich auf die Bekanntgabe jagdrechtlicher Nachweise über Tätigkeiten im Zusammenhang mit dem Erlegen von Tieren bezieht.</w:t>
      </w:r>
    </w:p>
    <w:p>
      <w:r>
        <w:rPr>
          <w:color w:val="555555"/>
          <w:sz w:val="17"/>
        </w:rPr>
        <w:t xml:space="preserve">Zitiervorschlag: Art 7 BayUIG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https://recht.nulegal.eu/gesetze/BayUIG/7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