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BayUIG (Bayern) — Zweck des Gesetzes, Anwendungsbereich</w:t>
      </w:r>
    </w:p>
    <w:p>
      <w:r>
        <w:rPr>
          <w:color w:val="555555"/>
          <w:sz w:val="18"/>
        </w:rPr>
        <w:t xml:space="preserve">Bayerisches Umweltinformationsgesetz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Zweck dieses Gesetzes ist es, den rechtlichen Rahmen für den freien Zugang zu Umweltinformationen bei informationspflichtigen Stellen sowie für die Verbreitung dieser Umweltinformationen zu schaffen.</w:t>
      </w:r>
    </w:p>
    <w:p>
      <w:r>
        <w:t xml:space="preserve">(2) Dieses Gesetz gilt für die in Art. 2 Abs. 1 genannten informationspflichtigen Stellen.</w:t>
      </w:r>
    </w:p>
    <w:p>
      <w:r>
        <w:rPr>
          <w:color w:val="555555"/>
          <w:sz w:val="17"/>
        </w:rPr>
        <w:t xml:space="preserve">Zitiervorschlag: Art 1 BayUIG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https://recht.nulegal.eu/gesetze/BayUIG/1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