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BayTierZV (Bayern)</w:t>
      </w:r>
    </w:p>
    <w:p>
      <w:r>
        <w:rPr>
          <w:color w:val="555555"/>
          <w:sz w:val="18"/>
        </w:rPr>
        <w:t xml:space="preserve">Bayerische Tierzuchtverordnung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18 Abs. 2 und § 30 Abs. 2 des Tierzuchtgesetzes (TierZG) vom 21. Dezember 2006 (BGBl I S. 3294) in Verbindung mit § 6 Nr. 3 der Verordnung über die Zuständigkeit zum Erlass von Rechtsverordnungen (Delegationsverordnung – DelV) vom 15. Juni 2004 (GVBl S. 239,ber. 2008, S. 33, BayRS 103-2-S), zuletzt geändert durch § 8 des Gesetzes vom 20. Dezember 2007 (GVBl S. 951) sowie Art. 14 Abs. 1 bis 3 des Bayerischen Tierzuchtgesetzes (BayTierZG) vom 10. August 1990 (GVBl S. 291, BayRS 7824-1-L), zuletzt geändert durch Gesetz vom 20. Dezember 2007 (GVBl S. 976),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BayTierZV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https://recht.nulegal.eu/gesetze/BayTierZV/eingangsformel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