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BayTierZV (Bayern) — Zuchtbücher im Bereich der Pferdezucht</w:t>
      </w:r>
    </w:p>
    <w:p>
      <w:r>
        <w:rPr>
          <w:color w:val="555555"/>
          <w:sz w:val="18"/>
        </w:rPr>
        <w:t xml:space="preserve">Bayerische Tierzuchtverordnung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bei Inkrafttreten des Tierzuchtgesetzes vom Haupt- und Landgestüt Schwaiganger geführte Buch der Zuchttiere eines Reinzuchtprogramms für Pferde gilt als Zuchtbuch im Sinn der tierzuchtrechtlichen Vorschriften.</w:t>
      </w:r>
    </w:p>
    <w:p>
      <w:r>
        <w:rPr>
          <w:color w:val="555555"/>
          <w:sz w:val="17"/>
        </w:rPr>
        <w:t xml:space="preserve">Zitiervorschlag: § 2 BayTierZV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https://recht.nulegal.eu/gesetze/BayTierZV/2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