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BayTierZV (Bayern) — Inkrafttreten, Außerkrafttreten</w:t>
      </w:r>
    </w:p>
    <w:p>
      <w:r>
        <w:rPr>
          <w:color w:val="555555"/>
          <w:sz w:val="18"/>
        </w:rPr>
        <w:t xml:space="preserve">Bayerische Tierzuchtverordnung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März 2008 in Kraft.</w:t>
      </w:r>
    </w:p>
    <w:p>
      <w:r>
        <w:t xml:space="preserve">(2) Mit Ablauf des 29. Februar 2008 tritt die Verordnung über den Vollzug des Tierzuchtrechts (Bayerische Tierzuchtverordnung – BayTierZV) vom 7. September 1990 (GVBl S. 372, BayRS 7824-3-L), zuletzt geändert durch Verordnung vom 12. Juni 2001 (GVBl S. 314), außer Kraft.</w:t>
      </w:r>
    </w:p>
    <w:p>
      <w:r>
        <w:rPr>
          <w:color w:val="555555"/>
          <w:sz w:val="17"/>
        </w:rPr>
        <w:t xml:space="preserve">Zitiervorschlag: § 11 BayTierZV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https://recht.nulegal.eu/gesetze/BayTierZV/11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