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BayTheolHSUniRBek (Bayern)</w:t>
      </w:r>
    </w:p>
    <w:p>
      <w:r>
        <w:rPr>
          <w:color w:val="555555"/>
          <w:sz w:val="18"/>
        </w:rPr>
        <w:t xml:space="preserve">Vertrag zwischen dem Heiligen Stuhl und dem Freistaat Bayern über die Katholisch-Theologische Fakultät der Universität Regensburg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Eine in Zukunft etwa zwischen den Hohen Vertragschließenden entstehende Meinungsverschiedenheit über die Auslegung einer Bestimmung dieses Vertrages wird nach Artikel 15 § 1 des Bayerischen Konkordates beseitigt werden.</w:t>
      </w:r>
    </w:p>
    <w:p>
      <w:r>
        <w:rPr>
          <w:color w:val="555555"/>
          <w:sz w:val="17"/>
        </w:rPr>
        <w:t xml:space="preserve">Zitiervorschlag: Art 4 BayTheolHSUniRBek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https://recht.nulegal.eu/gesetze/BayTheolHSUniRBek/4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