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BayTheolFbUniABek (Bayern)</w:t>
      </w:r>
    </w:p>
    <w:p>
      <w:r>
        <w:rPr>
          <w:color w:val="555555"/>
          <w:sz w:val="18"/>
        </w:rPr>
        <w:t xml:space="preserve">Vertrag zwischen dem Heiligen Stuhl und dem Freistaat Bayern über den Katholisch-Theologischen Fachbereich der Universität Augsburg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dem Heiligen Stuhl,</w:t>
      </w:r>
    </w:p>
    <w:p>
      <w:r>
        <w:rPr>
          <w:color w:val="555555"/>
          <w:sz w:val="17"/>
        </w:rPr>
        <w:t xml:space="preserve">Zitiervorschlag: Eingangsformel BayTheolFbUniABek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https://recht.nulegal.eu/gesetze/BayTheolFbUniABek/eingangsformel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