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BayThZwVStV (Bayern)</w:t>
      </w:r>
    </w:p>
    <w:p>
      <w:r>
        <w:rPr>
          <w:color w:val="555555"/>
          <w:sz w:val="18"/>
        </w:rPr>
        <w:t xml:space="preserve">Staatsvertrag zwischen dem Freistaat Bayern und dem Freistaat Thüringen über Zweckverbände, Zweckvereinbarungen, kommunale Arbeitsgemeinschaften sowie Wasser- und Bodenverbände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Dieser Staatsvertrag tritt nach Zustimmung der verfassungsmäßig zuständigen Organe der vertragschließenden Länder an dem Tag in Kraft, der auf den Austausch der Ratifikationsurkunden folgt.</w:t>
      </w:r>
    </w:p>
    <w:p>
      <w:r>
        <w:rPr>
          <w:color w:val="555555"/>
          <w:sz w:val="17"/>
        </w:rPr>
        <w:t xml:space="preserve">Zitiervorschlag: Art 7 BayThZwVStV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https://recht.nulegal.eu/gesetze/BayThZwVStV/7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