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BayThZwVStV (Bayern)</w:t>
      </w:r>
    </w:p>
    <w:p>
      <w:r>
        <w:rPr>
          <w:color w:val="555555"/>
          <w:sz w:val="18"/>
        </w:rPr>
        <w:t xml:space="preserve">Staatsvertrag zwischen dem Freistaat Bayern und dem Freistaat Thüringen über Zweckverbände, Zweckvereinbarungen,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Wasser- und Bodenverbände gilt das Wasserverbandsgesetz – WVG – vom 12. Februar 1991 (BGBl. I S. 405) und im übrigen das Recht des Landes, in dem der Wasser- und Bodenverband seinen Sitz nimmt oder hat. Artikel 3 Abs. 1 Satz 1, Abs. 2 Satz 1 und Absatz 3 gelten entsprechend; die für die Ausführung des WVG zuständige oberste Landesbehörde tritt an die Stelle des Innenministeriums. Die Gründung oder Ausdehnung eines Wasser- und Bodenverbandes ist nur nach Maßgabe der Ausführungsbestimmungen beider Länder zum WVG möglich.</w:t>
      </w:r>
    </w:p>
    <w:p>
      <w:r>
        <w:rPr>
          <w:color w:val="555555"/>
          <w:sz w:val="17"/>
        </w:rPr>
        <w:t xml:space="preserve">Zitiervorschlag: Art 4 BayThZwVStV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https://recht.nulegal.eu/gesetze/BayThZwVStV/4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