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BayThIngVersStV (Bayern) — Leistungen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31 Abs. 6 der Satzung in der jeweils geltenden Fassung wird der Zuschlag zum Ruhegeld bei Berufsunfähigkeit ohne Einhaltung einer Wartezeit gewährt.</w:t>
      </w:r>
    </w:p>
    <w:p>
      <w:r>
        <w:t xml:space="preserve">(2) Wird nach § 2 Abs. 1 der Mindestbeitrag gewählt, so ist § 31 Abs. 5 Satz 1 der Satzung in der jeweils geltenden Fassung nicht anzuwenden.</w:t>
      </w:r>
    </w:p>
    <w:p>
      <w:r>
        <w:rPr>
          <w:color w:val="555555"/>
          <w:sz w:val="17"/>
        </w:rPr>
        <w:t xml:space="preserve">Zitiervorschlag: § 3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