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BayThIngVersStV (Bayern) — In-Kraft-Treten des Staatsvertrags, Veröffentlichung der anwendbaren Vorschriften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tritt am ersten Tag des Monats in Kraft, der auf den Austausch der Ratifikationsurkunden folgt. Der Tag des In-Kraft-Tretens ist im Gesetz- und Verordnungsblatt für den Freistaat Thüringen bekannt zu geben.</w:t>
      </w:r>
    </w:p>
    <w:p>
      <w:r>
        <w:t xml:space="preserve">(2) Das bayerische Gesetz über das öffentliche Versorgungswesen vom 25. Juni 1994 ist mit seinem Ersten und Zweiten Teil in der zum Zeitpunkt des In-Kraft-Tretens dieses Staatsvertrags geltenden Fassung als Anlage zu diesem Staatsvertrag im Gesetz- und Verordnungsblatt für den Freistaat Thüringen bekannt zu machen. Änderungen der in Art. 2 Abs. 1 Satz 1 genannten Bestimmungen des bayerischen Gesetzes werden ebenfalls im Gesetz- und Verordnungsblatt für den Freistaat Thüringen unter Hinweis auf den Staatsvertrag bekannt gemacht.</w:t>
      </w:r>
    </w:p>
    <w:p>
      <w:r>
        <w:t xml:space="preserve">(3) Die Satzung der Ingenieurversorgung ist in der im Zeitpunkt des In-Kraft-Tretens dieses Staatsvertrags geltenden Fassung unter Hinweis auf den Staatsvertrag im Thüringer Staatsanzeiger bekannt zu machen.</w:t>
      </w:r>
    </w:p>
    <w:p>
      <w:r>
        <w:rPr>
          <w:color w:val="555555"/>
          <w:sz w:val="17"/>
        </w:rPr>
        <w:t xml:space="preserve">Zitiervorschlag: Art 11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