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BayTV_AUeG (Bayern)</w:t>
      </w:r>
    </w:p>
    <w:p>
      <w:r>
        <w:rPr>
          <w:color w:val="555555"/>
          <w:sz w:val="18"/>
        </w:rPr>
        <w:t xml:space="preserve">Tarifvertrag über die Festlegung einer von § 1 Abs. 1b Satz 1 Arbeitnehmerüberlassungsgesetz (AÜG) abweichenden Höchstüberlassungsdauer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Inkrafttreten/Kündigung/Nachwirkung</w:t>
      </w:r>
    </w:p>
    <w:p>
      <w:r>
        <w:t xml:space="preserve">(1) Dieser Tarifvertrag tritt am 1. Mai 2021 in Kraft.</w:t>
      </w:r>
    </w:p>
    <w:p>
      <w:r>
        <w:t xml:space="preserve">(2) Er kann von jeder Tarifvertragspartei mit einer Frist von sechs Monaten zum Schluss eines Kalenderhalbjahres gekündigt werden, frühestens jedoch zum 31. Dezember 2023. Die Nachwirkung ist ausgeschlossen; der Einsatz der zum Zeitpunkt des Wirksamwerdens der Kündigung bei dem anderen Arbeitgeber tätigen Ärztinnen/Ärzte bleibt für die Dauer der in § 2 Abs. 1 Satz 2 festgelegten Höchstgrenzen hiervon unberührt.</w:t>
      </w:r>
    </w:p>
    <w:p>
      <w:r>
        <w:rPr>
          <w:color w:val="555555"/>
          <w:sz w:val="17"/>
        </w:rPr>
        <w:t xml:space="preserve">Zitiervorschlag: § 3 BayTV_AUeG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https://recht.nulegal.eu/gesetze/BayTV_AUeG/3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