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BayTGV (Bayern)</w:t>
      </w:r>
    </w:p>
    <w:p>
      <w:r>
        <w:rPr>
          <w:color w:val="555555"/>
          <w:sz w:val="18"/>
        </w:rPr>
        <w:t xml:space="preserve">Bayerische Trennungsgeldverordnung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15. Juli 2002</w:t>
      </w:r>
    </w:p>
    <w:p>
      <w:r>
        <w:t xml:space="preserve">Bayerisches Staatsministerium der Finanzen</w:t>
      </w:r>
    </w:p>
    <w:p>
      <w:r>
        <w:t xml:space="preserve">Prof. Dr. Kurt Faltlhauser, Staatsminister</w:t>
      </w:r>
    </w:p>
    <w:p>
      <w:r>
        <w:rPr>
          <w:color w:val="555555"/>
          <w:sz w:val="17"/>
        </w:rPr>
        <w:t xml:space="preserve">Zitiervorschlag: Schlussformel BayTGV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https://recht.nulegal.eu/gesetze/BayTGV/schlussformel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