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BayTGV (Bayern)</w:t>
      </w:r>
    </w:p>
    <w:p>
      <w:r>
        <w:rPr>
          <w:color w:val="555555"/>
          <w:sz w:val="18"/>
        </w:rPr>
        <w:t xml:space="preserve">Bayerische Trennungsgeldverordnung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15 Abs. 1 Satz 1 und Abs. 2 Satz 2 in Verbindung mit Art. 19 Abs. 1 Satz 1 des Bayerischen Gesetzes über die Umzugskostenvergütung der Beamten und Richter – Bayerisches Umzugskostengesetz – BayUKG – (BayRS 2032-5-1-F), zuletzt geändert durch § 20 des Gesetzes vom 24. April 2001 (GVBl S. 140), und Art. 23 Abs. 1 Satz 1 und Abs. 2 Satz 2 des Bayerischen Gesetzes über die Reisekostenvergütung der Beamten und Richter (Bayerisches Reisekostengesetz – BayRKG) vom 24. April 2001 (GVBl. S. 133, BayRS 2032-4-1-F)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BayTGV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