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BayTGV (Bayern) — Inkrafttreten, Übergangsregelung</w:t>
      </w:r>
    </w:p>
    <w:p>
      <w:r>
        <w:rPr>
          <w:color w:val="555555"/>
          <w:sz w:val="18"/>
        </w:rPr>
        <w:t xml:space="preserve">Bayerische Trennungsgeldverordnung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August 2002 in Kraft.</w:t>
      </w:r>
    </w:p>
    <w:p>
      <w:r>
        <w:t xml:space="preserve">(2) Ist der Anspruch auf Trennungsgeld bis einschließlich 31. Dezember 2016 entstanden, findet die Bayerische Trennungsgeldverordnung in der bis zu diesem Tag geltenden Fassung Anwendung.</w:t>
      </w:r>
    </w:p>
    <w:p>
      <w:r>
        <w:rPr>
          <w:color w:val="555555"/>
          <w:sz w:val="17"/>
        </w:rPr>
        <w:t xml:space="preserve">Zitiervorschlag: § 12 BayTGV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https://recht.nulegal.eu/gesetze/BayTGV/12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