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BayTGV (Bayern) — Zuständigkeit</w:t>
      </w:r>
    </w:p>
    <w:p>
      <w:r>
        <w:rPr>
          <w:color w:val="555555"/>
          <w:sz w:val="18"/>
        </w:rPr>
        <w:t xml:space="preserve">Bayerische Trennungsgeldverordnung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Vollzug der Verordnung ist, soweit nichts anderes bestimmt ist, die Beschäftigungsbehörde zuständig; sie ist Bewilligungs- und Abrechnungsstelle. Die obersten Dienstbehörden können ihre Befugnisse nach § 2 Abs. 2 Satz 3, § 3 Abs. 1 Satz 4 und § 4 Abs. 8 sowie die Zuständigkeit der Beschäftigungsbehörden auf andere Dienststellen übertragen, im staatlichen Bereich durch Rechtsverordnung. Eine Konzentration der Bewilligungs- oder Abrechnungsstellen auf eine oder einzelne Behörden ist zulässig.</w:t>
      </w:r>
    </w:p>
    <w:p>
      <w:r>
        <w:rPr>
          <w:color w:val="555555"/>
          <w:sz w:val="17"/>
        </w:rPr>
        <w:t xml:space="preserve">Zitiervorschlag: § 11 BayTGV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https://recht.nulegal.eu/gesetze/BayTGV/11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