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102 BaySvVollzG (Bayern) — Einschränkung von Grundrechten</w:t>
      </w:r>
    </w:p>
    <w:p>
      <w:r>
        <w:rPr>
          <w:color w:val="555555"/>
          <w:sz w:val="18"/>
        </w:rPr>
        <w:t xml:space="preserve">Bayerisches Sicherungsverwahrungsvollzugsgesetz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Leben, körperliche Unversehrtheit und Freiheit der Person sowie das Brief-, Post- und Fernmeldegeheimnis (Art. 2 Abs. 2 Sätze 1 und 2 sowie Art. 10 Abs. 1 des Grundgesetzes, Art. 102 Abs. 1, Art. 112 Abs. 1 und Art. 109 der Verfassung) eingeschränkt werden.</w:t>
      </w:r>
    </w:p>
    <w:p>
      <w:r>
        <w:rPr>
          <w:color w:val="555555"/>
          <w:sz w:val="17"/>
        </w:rPr>
        <w:t xml:space="preserve">Zitiervorschlag: Art 102 BaySvVollzG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https://recht.nulegal.eu/gesetze/BaySvVollzG/102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102 BaySvVollzG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