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BaySuehneV (Bayern)</w:t>
      </w:r>
    </w:p>
    <w:p>
      <w:r>
        <w:rPr>
          <w:color w:val="555555"/>
          <w:sz w:val="18"/>
        </w:rPr>
        <w:t xml:space="preserve">Verordnung über den Sühneversuch in Privatklagesachen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380 der Strafprozeßordnung und des Art. 2 Abs. 3 des Ausführungsgesetzes zur Strafprozeßordnung (AGStPO) vom 17. November 1956 (BayBS III S. 149) erläßt das Bayerische Staatsministerium des Innern im Einvernehmen mit dem Bayerischen Staatsministerium der Justiz folgende Verordnung:</w:t>
      </w:r>
    </w:p>
    <w:p>
      <w:r>
        <w:rPr>
          <w:color w:val="555555"/>
          <w:sz w:val="17"/>
        </w:rPr>
        <w:t xml:space="preserve">Zitiervorschlag: Eingangsformel BaySuehneV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https://recht.nulegal.eu/gesetze/BaySuehneV/eingangsformel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