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BaySuehneV (Bayern)</w:t>
      </w:r>
    </w:p>
    <w:p>
      <w:r>
        <w:rPr>
          <w:color w:val="555555"/>
          <w:sz w:val="18"/>
        </w:rPr>
        <w:t xml:space="preserve">Verordnung über den Sühneversuch in Privatklagesachen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 Verordnung tritt am 1. Januar 1957 in Kraft.</w:t>
      </w:r>
    </w:p>
    <w:p>
      <w:r>
        <w:t xml:space="preserve">(2) (gegenstandslos)</w:t>
      </w:r>
    </w:p>
    <w:p>
      <w:r>
        <w:t xml:space="preserve">[Amtl. Anm.:] Betrifft die ursprüngliche Fassung vom 13. Dezember 1956 (Nr. 29 des Gesetz- und Verordnungsblattes vom 20. Dezember 1956, S. 356)</w:t>
      </w:r>
    </w:p>
    <w:p>
      <w:r>
        <w:rPr>
          <w:color w:val="555555"/>
          <w:sz w:val="17"/>
        </w:rPr>
        <w:t xml:space="preserve">Zitiervorschlag: § 6 BaySuehneV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https://recht.nulegal.eu/gesetze/BaySuehneV/6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