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BaySuehneV (Bayern)</w:t>
      </w:r>
    </w:p>
    <w:p>
      <w:r>
        <w:rPr>
          <w:color w:val="555555"/>
          <w:sz w:val="18"/>
        </w:rPr>
        <w:t xml:space="preserve">Verordnung über den Sühneversuch in Privatklagesachen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für die Vornahme von Sühneversuchen zuständige Stelle der Gemeinde (Vergleichsbehörde) beraumt auf Antrag des zur Privatklage Berechtigten den Sühnetermin an.</w:t>
      </w:r>
    </w:p>
    <w:p>
      <w:r>
        <w:t xml:space="preserve">(2) Die Parteien können sich durch einen Rechtsanwalt oder einen anderen Bevollmächtigten vertreten lassen. Beistände können zurückgewiesen werden; dies gilt nicht für Rechtsanwälte.</w:t>
      </w:r>
    </w:p>
    <w:p>
      <w:r>
        <w:t xml:space="preserve">(3) Die Vergleichsbehörde kann das persönliche Erscheinen der Parteien anordnen, wenn es der gütlichen Erledigung der Sache dienlich ist.</w:t>
      </w:r>
    </w:p>
    <w:p>
      <w:r>
        <w:rPr>
          <w:color w:val="555555"/>
          <w:sz w:val="17"/>
        </w:rPr>
        <w:t xml:space="preserve">Zitiervorschlag: § 2 BaySuehneV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https://recht.nulegal.eu/gesetze/BaySuehneV/2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