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BaySuehneV (Bayern)</w:t>
      </w:r>
    </w:p>
    <w:p>
      <w:r>
        <w:rPr>
          <w:color w:val="555555"/>
          <w:sz w:val="18"/>
        </w:rPr>
        <w:t xml:space="preserve">Verordnung über den Sühneversuch in Privatklagesachen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Zuständig für die Vornahme des Sühneversuchs ist die Gemeinde, in deren Gebiet die Parteien wohnen.</w:t>
      </w:r>
    </w:p>
    <w:p>
      <w:r>
        <w:rPr>
          <w:color w:val="555555"/>
          <w:sz w:val="17"/>
        </w:rPr>
        <w:t xml:space="preserve">Zitiervorschlag: § 1 BaySuehneV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https://recht.nulegal.eu/gesetze/BaySuehneV/1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