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BaySuddtSts (Bayern)</w:t>
      </w:r>
    </w:p>
    <w:p>
      <w:r>
        <w:rPr>
          <w:color w:val="555555"/>
          <w:sz w:val="18"/>
        </w:rPr>
        <w:t xml:space="preserve">Satzung der Sudetendeutschen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11 des Gesetzes über die Errichtung der „Sudetendeutschen Stiftung“ erläßt die Bayerische Staatsregierung folgende Satzung:</w:t>
      </w:r>
    </w:p>
    <w:p>
      <w:r>
        <w:rPr>
          <w:color w:val="555555"/>
          <w:sz w:val="17"/>
        </w:rPr>
        <w:t xml:space="preserve">Zitiervorschlag: Eingangsformel BaySuddtSts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https://recht.nulegal.eu/gesetze/BaySuddtSts/eingangsformel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