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BaySuddtSts (Bayern) — Aufgaben des Stiftungsrats</w:t>
      </w:r>
    </w:p>
    <w:p>
      <w:r>
        <w:rPr>
          <w:color w:val="555555"/>
          <w:sz w:val="18"/>
        </w:rPr>
        <w:t xml:space="preserve">Satzung der Sudetendeutschen 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Stiftungsrat beschließt insbesondere über</w:t>
      </w:r>
    </w:p>
    <w:p>
      <w:r>
        <w:t xml:space="preserve">1. die ihm im Gesetz über die Sudetendeutsche Stiftung ausdrücklich zugewiesenen Angelegenheiten,</w:t>
      </w:r>
    </w:p>
    <w:p>
      <w:r>
        <w:t xml:space="preserve">2. Richtlinien für die Geschäftsführung,</w:t>
      </w:r>
    </w:p>
    <w:p>
      <w:r>
        <w:t xml:space="preserve">3. die zu betreuenden Einrichtungen nach Art. 2 Abs. 1 Satz 2 Nr. 4 SudetStG,</w:t>
      </w:r>
    </w:p>
    <w:p>
      <w:r>
        <w:t xml:space="preserve">4. die Feststellung des Haushaltsplans,</w:t>
      </w:r>
    </w:p>
    <w:p>
      <w:r>
        <w:t xml:space="preserve">5. die Jahresrechnung, die fortgeschriebene Vermögensübersicht und die Entlastung des Stiftungsvorstands,</w:t>
      </w:r>
    </w:p>
    <w:p>
      <w:r>
        <w:t xml:space="preserve">6. die Gewährung einer Vergütung oder Entschädigung,</w:t>
      </w:r>
    </w:p>
    <w:p>
      <w:r>
        <w:t xml:space="preserve">7. die Ernennung von Beamten,</w:t>
      </w:r>
    </w:p>
    <w:p>
      <w:r>
        <w:t xml:space="preserve">8. die Einstellung von Arbeitnehmern ab Entgeltgruppe 9 des Tarifvertrags für den öffentlichen Dienst der Länder (TV-L) oder einer vergleichbaren tarifvertraglichen Bestimmung.</w:t>
      </w:r>
    </w:p>
    <w:p>
      <w:r>
        <w:t xml:space="preserve">(2) Der Stiftungsrat kann Gebührensatzungen erlassen und die Art der Veröffentlichung bestimmen.</w:t>
      </w:r>
    </w:p>
    <w:p>
      <w:r>
        <w:t xml:space="preserve">(3) Der Stiftungsrat kann vom Stiftungsvorstand Auskunft über die Geschäftsführung und Einsicht in sämtliche Geschäftsunterlagen verlangen.</w:t>
      </w:r>
    </w:p>
    <w:p>
      <w:r>
        <w:t xml:space="preserve">(4) Der Stiftungsrat kann für bestimmte Angelegenheiten oder Aufgabengebiete beratende Ausschüsse einsetzen. Diesen können auch Personen angehören, die nicht Mitglieder des Stiftungsrats sind. § 12 ist entsprechend anzuwenden.</w:t>
      </w:r>
    </w:p>
    <w:p>
      <w:r>
        <w:rPr>
          <w:color w:val="555555"/>
          <w:sz w:val="17"/>
        </w:rPr>
        <w:t xml:space="preserve">Zitiervorschlag: § 8 BaySuddtSts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https://recht.nulegal.eu/gesetze/BaySuddtSts/8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