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BaySuddtSts (Bayern) — Stiftungsvorstand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Hauptamtliche Vorstandsmitglieder werden in der Regel als Arbeitnehmer der Stiftung beschäftigt. Die Vergütung dieser Vorstandsmitglieder darf die Vergütung für eine vergleichbare Tätigkeit im bayerischen öffentlichen Dienst nicht übersteigen.</w:t>
      </w:r>
    </w:p>
    <w:p>
      <w:r>
        <w:t xml:space="preserve">(2) Ehrenamtlichen Vorstandsmitgliedern kann eine angemessene Aufwandsentschädigung gewährt werden.</w:t>
      </w:r>
    </w:p>
    <w:p>
      <w:r>
        <w:t xml:space="preserve">(3) Beamten des Freistaates Bayern, die im Nebenamt zum Vorstandsmitglied berufen werden, kann eine angemessene Vergütung nach Maßgabe der für die Nebentätigkeit im bayerischen öffentlichen Dienst geltenden Vorschriften gewährt werden.</w:t>
      </w:r>
    </w:p>
    <w:p>
      <w:r>
        <w:rPr>
          <w:color w:val="555555"/>
          <w:sz w:val="17"/>
        </w:rPr>
        <w:t xml:space="preserve">Zitiervorschlag: § 4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