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BaySuddtSts (Bayern) — Bedienstete</w:t>
      </w:r>
    </w:p>
    <w:p>
      <w:r>
        <w:rPr>
          <w:color w:val="555555"/>
          <w:sz w:val="18"/>
        </w:rPr>
        <w:t xml:space="preserve">Satzung der Sudetendeutschen Stiftung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Dienstvorgesetzter der hauptamtlich angestellten oder beamteten Vorstandsmitglieder ist der Vorsitzende des Stiftungsrats.</w:t>
      </w:r>
    </w:p>
    <w:p>
      <w:r>
        <w:t xml:space="preserve">(2) Dienstvorgesetzter der übrigen Bediensteten der Stiftung ist der Vorsitzende des Stiftungsvorstands.</w:t>
      </w:r>
    </w:p>
    <w:p>
      <w:r>
        <w:t xml:space="preserve">(3) Für die Arbeitnehmer der Stiftung sind die tarifvertraglichen Vorschriften anzuwenden, die für vergleichbare Beschäftigte des Freistaates Bayern gelten.</w:t>
      </w:r>
    </w:p>
    <w:p>
      <w:r>
        <w:rPr>
          <w:color w:val="555555"/>
          <w:sz w:val="17"/>
        </w:rPr>
        <w:t xml:space="preserve">Zitiervorschlag: § 11 BaySuddtSts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https://recht.nulegal.eu/gesetze/BaySuddtSts/11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