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BaySuddtSts (Bayern) — Haushalts- und Wirtschaftsführung</w:t>
      </w:r>
    </w:p>
    <w:p>
      <w:r>
        <w:rPr>
          <w:color w:val="555555"/>
          <w:sz w:val="18"/>
        </w:rPr>
        <w:t xml:space="preserve">Satzung der Sudetendeutschen Stiftung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Rechtsvorschriften des Freistaates Bayern über das Haushalts-, Kassen- und Rechnungswesen gelten entsprechend, soweit das Gesetz über die Sudetendeutsche Stiftung oder diese Satzung nicht anderes bestimmen.</w:t>
      </w:r>
    </w:p>
    <w:p>
      <w:r>
        <w:t xml:space="preserve">(2) Der Haushaltsplan enthält einen Stellenplan als Grundlage für die Personalbewirtschaftung, wenn der Stiftungsrat beschließt, Bedienstete der Stiftung zu beschäftigen.</w:t>
      </w:r>
    </w:p>
    <w:p>
      <w:r>
        <w:rPr>
          <w:color w:val="555555"/>
          <w:sz w:val="17"/>
        </w:rPr>
        <w:t xml:space="preserve">Zitiervorschlag: § 10 BaySuddtSts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https://recht.nulegal.eu/gesetze/BaySuddtSts/10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