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BaySuddtSts (Bayern) — Stiftung und Gesetz über die Sudetendeutsche Stiftung</w:t>
      </w:r>
    </w:p>
    <w:p>
      <w:r>
        <w:rPr>
          <w:color w:val="555555"/>
          <w:sz w:val="18"/>
        </w:rPr>
        <w:t xml:space="preserve">Satzung der Sudetendeutschen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Sudetendeutsche Stiftung ist eine rechtsfähige Stiftung des öffentlichen Rechts mit Sitz in München.</w:t>
      </w:r>
    </w:p>
    <w:p>
      <w:r>
        <w:t xml:space="preserve">(2) Die Bestimmungen des Gesetzes über die Sudetendeutsche Stiftung (SudetStG) sind für die Stiftung unmittelbar anzuwenden und im Zweifel vorrangig gegenüber den nachfolgenden ergänzenden Bestimmungen.</w:t>
      </w:r>
    </w:p>
    <w:p>
      <w:r>
        <w:rPr>
          <w:color w:val="555555"/>
          <w:sz w:val="17"/>
        </w:rPr>
        <w:t xml:space="preserve">Zitiervorschlag: § 1 BaySuddtSts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https://recht.nulegal.eu/gesetze/BaySuddtSts/1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