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BayStudAkkV (Bayern)</w:t>
      </w:r>
    </w:p>
    <w:p>
      <w:r>
        <w:rPr>
          <w:color w:val="555555"/>
          <w:sz w:val="18"/>
        </w:rPr>
        <w:t xml:space="preserve">Bayerische Studienakkreditierungsverordnung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Auf Grund des Art. 10 Abs. 4 Satz 2 des Bayerischen Hochschulgesetzes (BayHSchG) vom 23. Mai 2006 (GVBl. S. 245, BayRS 2210-1-1-K), das zuletzt durch Gesetz vom 19. Dezember 2017 (GVBl. S. 568) geändert worden ist, in Verbindung mit Art. 4 Abs. 1 bis 4 des vom 1. bis 20. Juni 2017 unterzeichneten und mit Bekanntmachung vom 11. Dezember 2017 veröffentlichen Studienakkreditierungsstaatsvertrags (GVBl. S. 573, BayRS 02-32-K) verordnet das Bayerische Staatsministerium für Wissenschaft und Kunst:</w:t>
      </w:r>
    </w:p>
    <w:p>
      <w:r>
        <w:rPr>
          <w:color w:val="555555"/>
          <w:sz w:val="17"/>
        </w:rPr>
        <w:t xml:space="preserve">Zitiervorschlag: Eingangsformel BayStudAkkV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https://recht.nulegal.eu/gesetze/BayStudAkkV/eingangsformel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