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BayStthNStif (Bayern) — Aufgaben des Stiftungsrats</w:t>
      </w:r>
    </w:p>
    <w:p>
      <w:r>
        <w:rPr>
          <w:color w:val="555555"/>
          <w:sz w:val="18"/>
        </w:rPr>
        <w:t xml:space="preserve">Gesetz zur Errichtung der „Stiftung Staatstheater Nürnberg“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Stiftungsrat überwacht die Tätigkeit des Stiftungsvorstands und entscheidet in allen Angelegenheiten von besonderer oder grundsätzlicher Bedeutung.</w:t>
      </w:r>
    </w:p>
    <w:p>
      <w:r>
        <w:t xml:space="preserve">(2) Der Vorsitzende des Stiftungsrats vertritt die Stiftung bei Rechtsgeschäften mit den Mitgliedern des Stiftungsvorstands und den Spartenleitern.</w:t>
      </w:r>
    </w:p>
    <w:p>
      <w:r>
        <w:t xml:space="preserve">(3) Den Geschäftsgang des Stiftungsrats regelt die Stiftungssatzung.</w:t>
      </w:r>
    </w:p>
    <w:p>
      <w:r>
        <w:rPr>
          <w:color w:val="555555"/>
          <w:sz w:val="17"/>
        </w:rPr>
        <w:t xml:space="preserve">Zitiervorschlag: Art 8 BayStthNStif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https://recht.nulegal.eu/gesetze/BayStthNStif/8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