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BayStthNStif (Bayern) — Stiftungsorgane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Organe der Stiftung sind</w:t>
      </w:r>
    </w:p>
    <w:p>
      <w:r>
        <w:t xml:space="preserve">1. der Stiftungsrat,</w:t>
      </w:r>
    </w:p>
    <w:p>
      <w:r>
        <w:t xml:space="preserve">2. der Stiftungsvorstand.</w:t>
      </w:r>
    </w:p>
    <w:p>
      <w:r>
        <w:t xml:space="preserve">(2) Zur Beratung der Organe wird ein Kuratorium der Stiftung gebildet.</w:t>
      </w:r>
    </w:p>
    <w:p>
      <w:r>
        <w:rPr>
          <w:color w:val="555555"/>
          <w:sz w:val="17"/>
        </w:rPr>
        <w:t xml:space="preserve">Zitiervorschlag: Art 5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