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BayStthNStif (Bayern) — In-Kraft-Treten</w:t>
      </w:r>
    </w:p>
    <w:p>
      <w:r>
        <w:rPr>
          <w:color w:val="555555"/>
          <w:sz w:val="18"/>
        </w:rPr>
        <w:t xml:space="preserve">Gesetz zur Errichtung der „Stiftung Staatstheater Nürnberg“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2005 in Kraft.</w:t>
      </w:r>
    </w:p>
    <w:p>
      <w:r>
        <w:rPr>
          <w:color w:val="555555"/>
          <w:sz w:val="17"/>
        </w:rPr>
        <w:t xml:space="preserve">Zitiervorschlag: Art 15 BayStthNStif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https://recht.nulegal.eu/gesetze/BayStthNStif/15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