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68 BayStrWG (Bayern) — Inkrafttreten</w:t>
      </w:r>
    </w:p>
    <w:p>
      <w:r>
        <w:rPr>
          <w:color w:val="555555"/>
          <w:sz w:val="18"/>
        </w:rPr>
        <w:t xml:space="preserve">Bayerisches Straßen- und Wegegesetz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Gesetz ist dringlich; es tritt am 1. September 1958 in Kraft.</w:t>
      </w:r>
    </w:p>
    <w:p>
      <w:r>
        <w:t xml:space="preserve">[Amtl. Anm.:] Betrifft die ursprüngliche Fassung vom 11. Juli 1958 (GVBl. S. 147)</w:t>
      </w:r>
    </w:p>
    <w:p>
      <w:r>
        <w:rPr>
          <w:color w:val="555555"/>
          <w:sz w:val="17"/>
        </w:rPr>
        <w:t xml:space="preserve">Zitiervorschlag: Art 68 BayStrWG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https://recht.nulegal.eu/gesetze/BayStrWG/68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