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67 BayStrWG (Bayern) — Übergangsregelung</w:t>
      </w:r>
    </w:p>
    <w:p>
      <w:r>
        <w:rPr>
          <w:color w:val="555555"/>
          <w:sz w:val="18"/>
        </w:rPr>
        <w:t xml:space="preserve">Bayerisches Straßen- und Wegegesetz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Vorschrift des Art. 36 Abs. 2 Satz 2 und 3 gilt nicht für vor dem 1. März 2023 eingeleitete Planfeststellungsverfahren.</w:t>
      </w:r>
    </w:p>
    <w:p>
      <w:r>
        <w:rPr>
          <w:color w:val="555555"/>
          <w:sz w:val="17"/>
        </w:rPr>
        <w:t xml:space="preserve">Zitiervorschlag: Art 67 BayStrWG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https://recht.nulegal.eu/gesetze/BayStrWG/67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