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63 BayStrWG (Bayern) — Straßenstatistik</w:t>
      </w:r>
    </w:p>
    <w:p>
      <w:r>
        <w:rPr>
          <w:color w:val="555555"/>
          <w:sz w:val="18"/>
        </w:rPr>
        <w:t xml:space="preserve">Bayerisches Straßen- und Wegegesetz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Träger der Straßenbaulast sind auf Verlangen der obersten Straßenaufsichtsbehörde oder der von ihr ermächtigten Behörde zu statistischen Angaben über ihre Straßen verpflichtet.</w:t>
      </w:r>
    </w:p>
    <w:p>
      <w:r>
        <w:rPr>
          <w:color w:val="555555"/>
          <w:sz w:val="17"/>
        </w:rPr>
        <w:t xml:space="preserve">Zitiervorschlag: Art 63 BayStrWG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https://recht.nulegal.eu/gesetze/BayStrWG/63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