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61 BayStrWG (Bayern) — Straßenaufsichtsbehörden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Oberste Straßenaufsichtsbehörde ist das Staatsministerium.</w:t>
      </w:r>
    </w:p>
    <w:p>
      <w:r>
        <w:t xml:space="preserve">(2) Obere Straßenaufsichtsbehörden sind die Regierungen, soweit sie nicht Straßenaufsichtsbehörden sind.</w:t>
      </w:r>
    </w:p>
    <w:p>
      <w:r>
        <w:t xml:space="preserve">(3) Straßenaufsichtsbehörden sind</w:t>
      </w:r>
    </w:p>
    <w:p>
      <w:r>
        <w:t xml:space="preserve">1. für Staatsstraßen und Kreisstraßen und für Gemeindestraßen kreisfreier Gemeinden die Regierungen,</w:t>
      </w:r>
    </w:p>
    <w:p>
      <w:r>
        <w:t xml:space="preserve">2. im übrigen die Kreisverwaltungsbehörden.</w:t>
      </w:r>
    </w:p>
    <w:p>
      <w:r>
        <w:rPr>
          <w:color w:val="555555"/>
          <w:sz w:val="17"/>
        </w:rPr>
        <w:t xml:space="preserve">Zitiervorschlag: Art 61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