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 BayStrWG (Bayern) — Fachtechnische Bedienstete</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Träger der Straßenbaulast haben sich bei der Erfüllung ihrer Aufgaben (Art. 9) der erforderlichen fachkundigen Personen zu bedienen.</w:t>
      </w:r>
    </w:p>
    <w:p>
      <w:r>
        <w:t xml:space="preserve">(2) Die Landkreise und die kreisfreien Gemeinden sind verpflichtet, für die ihnen obliegende Verwaltung von Straßen die notwendigen fachlich vorgebildeten und geeigneten Bediensteten einzustellen. Hierzu gehört mindestens eine Fachkraft mit einem erfolgreichen Studienabschluss im Bauingenieurwesen.</w:t>
      </w:r>
    </w:p>
    <w:p>
      <w:r>
        <w:t xml:space="preserve">(3) Abs. 2 Satz 1 gilt auch für kreisangehörige Gemeinden oder Verwaltungsgemeinschaften.</w:t>
      </w:r>
    </w:p>
    <w:p>
      <w:r>
        <w:rPr>
          <w:color w:val="555555"/>
          <w:sz w:val="17"/>
        </w:rPr>
        <w:t xml:space="preserve">Zitiervorschlag: Art 60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