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BayStrWG (Bayern) — Straßenbaulast in gemeindefreien Gebieten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gemeindefreien Gebieten sind Träger der Straßenbaulast für solche Straßen, die innerhalb des Gemeindegebiets in der Straßenbaulast der Gemeinden stünden, die Eigentümer der gemeindefreien Grundstücke.</w:t>
      </w:r>
    </w:p>
    <w:p>
      <w:r>
        <w:t xml:space="preserve">(2) Die Art. 44, 45 und 49 gelten entsprechend.</w:t>
      </w:r>
    </w:p>
    <w:p>
      <w:r>
        <w:rPr>
          <w:color w:val="555555"/>
          <w:sz w:val="17"/>
        </w:rPr>
        <w:t xml:space="preserve">Zitiervorschlag: Art 57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