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56 BayStrWG (Bayern) — Gemeinsame Vorschriften für sonstige öffentliche Straßen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Sondernutzung an sonstigen öffentlichen Straßen richtet sich ausschließlich nach bürgerlichem Recht.</w:t>
      </w:r>
    </w:p>
    <w:p>
      <w:r>
        <w:t xml:space="preserve">(2) Die Art. 44 und 45 sind entsprechend anzuwenden; dasselbe gilt für Art. 22a, soweit eine Gemeinde Träger der Straßenbaulast ist.</w:t>
      </w:r>
    </w:p>
    <w:p>
      <w:r>
        <w:rPr>
          <w:color w:val="555555"/>
          <w:sz w:val="17"/>
        </w:rPr>
        <w:t xml:space="preserve">Zitiervorschlag: Art 56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