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54a BayStrWG (Bayern) — Straßenbaulast an beschränkt-öffentlichen Wegen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Träger der Straßenbaulast für die beschränkt-öffentlichen Wege sind die Gemeinden.</w:t>
      </w:r>
    </w:p>
    <w:p>
      <w:r>
        <w:t xml:space="preserve">(2) Art. 49 gilt entsprechend.</w:t>
      </w:r>
    </w:p>
    <w:p>
      <w:r>
        <w:rPr>
          <w:color w:val="555555"/>
          <w:sz w:val="17"/>
        </w:rPr>
        <w:t xml:space="preserve">Zitiervorschlag: Art 54a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https://recht.nulegal.eu/gesetze/BayStrWG/54a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