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BayStrWG (Bayern) — Einteilung der sonstigen öffentlichen Straßen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Sonstige öffentliche Straßen sind:</w:t>
      </w:r>
    </w:p>
    <w:p>
      <w:r>
        <w:t xml:space="preserve">1. die öffentlichen Feld- und Waldwege;</w:t>
      </w:r>
    </w:p>
    <w:p>
      <w:r>
        <w:t xml:space="preserve">das sind Straßen, die der Bewirtschaftung von Feld- und Waldgrundstücken dienen;</w:t>
      </w:r>
    </w:p>
    <w:p>
      <w:r>
        <w:t xml:space="preserve">2. die beschränkt-öffentlichen Wege;</w:t>
      </w:r>
    </w:p>
    <w:p>
      <w:r>
        <w:t xml:space="preserve">das sind Straßen, die einem beschränkt-öffentlichen Verkehr dienen und eine besondere Zweckbestimmung haben können. Hierzu zählen die Friedhof-, Kirchen- und Schulwege, die Wanderwege (Art. 141 Abs. 3 Satz 2 der Verfassung), die Geh- und Radwege, soweit diese nicht Bestandteile anderer Straßen sind (selbständige Geh- und Radwege), sowie die Fußgängerbereiche;</w:t>
      </w:r>
    </w:p>
    <w:p>
      <w:r>
        <w:t xml:space="preserve">3. die Eigentümerwege;</w:t>
      </w:r>
    </w:p>
    <w:p>
      <w:r>
        <w:t xml:space="preserve">das sind Straßen, die von den Grundstückseigentümern in unwiderruflicher Weise einem beschränkten oder unbeschränkten öffentlichen Verkehr zur Verfügung gestellt werden und keiner anderen Straßenklasse angehören.</w:t>
      </w:r>
    </w:p>
    <w:p>
      <w:r>
        <w:rPr>
          <w:color w:val="555555"/>
          <w:sz w:val="17"/>
        </w:rPr>
        <w:t xml:space="preserve">Zitiervorschlag: Art 53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