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BayStrWG (Bayern) — Straßennamen und Hausnummern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Gemeinden können den öffentlichen Straßen Namen geben und Namensschilder anbringen.</w:t>
      </w:r>
    </w:p>
    <w:p>
      <w:r>
        <w:t xml:space="preserve">(2) Die Hausnumerierung und die Verpflichtung der Grundstückseigentümer, die Kosten hierfür zu tragen, regeln die Gemeinden durch Satzung nach Art. 23 der Gemeindeordnung, soweit nicht bundesrechtliche Vorschriften bestehen.</w:t>
      </w:r>
    </w:p>
    <w:p>
      <w:r>
        <w:rPr>
          <w:color w:val="555555"/>
          <w:sz w:val="17"/>
        </w:rPr>
        <w:t xml:space="preserve">Zitiervorschlag: Art 52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