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49 BayStrWG (Bayern) — Kostenausgleich bei Gemeindeverbindungsstraßen</w:t>
      </w:r>
    </w:p>
    <w:p>
      <w:r>
        <w:rPr>
          <w:color w:val="555555"/>
          <w:sz w:val="18"/>
        </w:rPr>
        <w:t xml:space="preserve">Bayerisches Straßen- und Wegegesetz</w:t>
      </w:r>
    </w:p>
    <w:p>
      <w:r>
        <w:rPr>
          <w:color w:val="555555"/>
          <w:sz w:val="18"/>
        </w:rPr>
        <w:t xml:space="preserve">Landesrecht Bayern</w:t>
      </w:r>
    </w:p>
    <w:p>
      <w:r>
        <w:rPr>
          <w:color w:val="555555"/>
          <w:sz w:val="18"/>
        </w:rPr>
        <w:t xml:space="preserve">Stand: 25.08.2026 (konsolidierte Textfassung, kein amtliches Inkrafttretensdatum)</w:t>
      </w:r>
    </w:p>
    <w:p>
      <w:r>
        <w:t xml:space="preserve">Wenn eine Gemeindeverbindungsstraße ausschließlich oder überwiegend dem Verkehrsbedürfnis anderer Gemeinden dient, sind diese verpflichtet, nach Maßgabe ihres Nutzens der Gemeinde, durch deren Gebiet die Straße verläuft, die im Rahmen der Straßenbaulast erforderlichen Aufwendungen zu erstatten.</w:t>
      </w:r>
    </w:p>
    <w:p>
      <w:r>
        <w:rPr>
          <w:color w:val="555555"/>
          <w:sz w:val="17"/>
        </w:rPr>
        <w:t xml:space="preserve">Zitiervorschlag: Art 49 BayStrWG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https://recht.nulegal.eu/gesetze/BayStrWG/49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