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BayStrWG (Bayern) — Gemeindeaufgaben für Ortsdurchfahrten mit geteilter Straßenbaulast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sind Träger der Straßenbaulast für Gehwege, Radwege und Parkplätze, die nicht nach Art. 42 Abs. 3 in der Straßenbaulast des Freistaates Bayern oder eines Landkreises stehen.</w:t>
      </w:r>
    </w:p>
    <w:p>
      <w:r>
        <w:t xml:space="preserve">(2) Für diese Bestandteile der Ortsdurchfahrten gelten die Art. 44 und 45, für die Gehwege auch Art. 47 Abs. 3 entsprechend.</w:t>
      </w:r>
    </w:p>
    <w:p>
      <w:r>
        <w:t xml:space="preserve">(3) Art. 47 Abs. 3 gilt für die Gehwege aller Ortsdurchfahrten von Bundesstraßen entsprechend.</w:t>
      </w:r>
    </w:p>
    <w:p>
      <w:r>
        <w:rPr>
          <w:color w:val="555555"/>
          <w:sz w:val="17"/>
        </w:rPr>
        <w:t xml:space="preserve">Zitiervorschlag: Art 48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