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BayStrWG (Bayern) — Straßenbaulast für Gemeindestraßen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sind Träger der Straßenbaulast für die erforderlichen Gemeindestraßen innerhalb des Gemeindegebiets.</w:t>
      </w:r>
    </w:p>
    <w:p>
      <w:r>
        <w:t xml:space="preserve">(2) Ist eine Gemeindestraße ordnungsgemäß hergestellt, so hat die Straßenbaubehörde sie unverzüglich zu widmen.</w:t>
      </w:r>
    </w:p>
    <w:p>
      <w:r>
        <w:t xml:space="preserve">(3) Die Gemeinden können durch Satzung die Eigentümer solcher Grundstücke, die über Ortsstraßen erschlossen werden, und die sonst zur Nutzung dinglich Berechtigten zur Unterhaltung der Gehwege verpflichten oder zu den Kosten nach dem Maß dieser Verpflichtung heranziehen, soweit der Gehweg überwiegend dem Grundstückseigentümer oder dem sonst zur Nutzung dinglich Berechtigten dient.</w:t>
      </w:r>
    </w:p>
    <w:p>
      <w:r>
        <w:t xml:space="preserve">(4) Die Art. 44 und 45 gelten entsprechend.</w:t>
      </w:r>
    </w:p>
    <w:p>
      <w:r>
        <w:rPr>
          <w:color w:val="555555"/>
          <w:sz w:val="17"/>
        </w:rPr>
        <w:t xml:space="preserve">Zitiervorschlag: Art 47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