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BayStrWG (Bayern) — Einteilung der Gemeindestraßen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Gemeindestraßen sind:</w:t>
      </w:r>
    </w:p>
    <w:p>
      <w:r>
        <w:t xml:space="preserve">1. Gemeindeverbindungsstraßen;</w:t>
      </w:r>
    </w:p>
    <w:p>
      <w:r>
        <w:t xml:space="preserve">das sind Straßen, die den nachbarlichen Verkehr der Gemeinden oder der Gemeindeteile untereinander oder deren Verbindung mit anderen Verkehrswegen vermitteln.</w:t>
      </w:r>
    </w:p>
    <w:p>
      <w:r>
        <w:t xml:space="preserve">2. Ortsstraßen;</w:t>
      </w:r>
    </w:p>
    <w:p>
      <w:r>
        <w:t xml:space="preserve">das sind Straßen, die dem Verkehr innerhalb der geschlossenen Ortslage oder innerhalb des räumlichen Geltungsbereichs eines Bebauungsplans im Sinn des Baugesetzbuchs dienen, mit Ausnahme der Ortsdurchfahrten von Bundesstraßen, Staatsstraßen und Kreisstraßen.</w:t>
      </w:r>
    </w:p>
    <w:p>
      <w:r>
        <w:rPr>
          <w:color w:val="555555"/>
          <w:sz w:val="17"/>
        </w:rPr>
        <w:t xml:space="preserve">Zitiervorschlag: Art 46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