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44 BayStrWG (Bayern) — Straßenbaulast Dritter</w:t>
      </w:r>
    </w:p>
    <w:p>
      <w:r>
        <w:rPr>
          <w:color w:val="555555"/>
          <w:sz w:val="18"/>
        </w:rPr>
        <w:t xml:space="preserve">Bayerisches Straßen- und Wegegesetz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Art. 41 und 42 gelten nicht, soweit die Straßenbaulast auf Grund anderer gesetzlicher Vorschriften oder auf Grund öffentlich-rechtlicher Verpflichtungen anderen Trägern obliegt oder übertragen wird.</w:t>
      </w:r>
    </w:p>
    <w:p>
      <w:r>
        <w:t xml:space="preserve">(2) Bürgerlich-rechtliche Verpflichtungen Dritter über die Erfüllung der Aufgaben aus der Straßenbaulast lassen die Straßenbaulast als solche unberührt. Soweit die Landkreise nach Art. 52 der Landkreisordnung (LKrO) Aufgaben aus der Straßenbaulast kreisangehöriger Gemeinden oder die Bezirke nach Art. 49 der Bezirksordnung solche Aufgaben der Landkreise und kreisfreien Gemeinden übernehmen, sind sie Dritte im Sinne des Abs. 1 und Straßenbaubehörde.</w:t>
      </w:r>
    </w:p>
    <w:p>
      <w:r>
        <w:rPr>
          <w:color w:val="555555"/>
          <w:sz w:val="17"/>
        </w:rPr>
        <w:t xml:space="preserve">Zitiervorschlag: Art 44 BayStrWG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https://recht.nulegal.eu/gesetze/BayStrWG/44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