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BayStrWG (Bayern) — Träger der Straßenbaulast für Ortsdurchfahrten,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mit mehr als 25 000 Einwohnern sind Träger der Straßenbaulast für die Ortsdurchfahrten im Zug von Staats- und Kreisstraßen. Maßgebend ist die durch die jeweils letzte Volkszählung festgestellte Einwohnerzahl. Das Ergebnis einer Volkszählung wird mit Beginn des dritten Haushaltsjahres nach dem Jahr verbindlich, in dem die Volkszählung stattgefunden hat. Werden Gemeindegrenzen geändert oder neue Gemeinden gebildet, ist die bei der Volkszählung festgestellte Einwohnerzahl des neuen Gemeindegebiets maßgebend. In diesen Fällen wechselt die Straßenbaulast für die Ortsdurchfahrten mit Beginn des dritten Haushaltsjahres nach dem Jahr der Gebietsänderung, wenn sie bisher dem Freistaat Bayern oder einem Landkreis oblag, sonst mit der Gebietsänderung. Die Gemeinde bleibt abweichend von den Sätzen 1 bis 5 Träger der Straßenbaulast für die Ortsdurchfahrten im Zug der Staats- und Kreisstraßen, wenn sie es mit Zustimmung der Rechtsaufsichtsbehörde gegenüber dem Träger der Straßenbaulast erklärt. Für die Gehwege dieser Ortsdurchfahrten und der Ortsdurchfahrten von Kreisstraßen in kreisfreien Gemeinden gilt Art. 47 Abs. 3 entsprechend.</w:t>
      </w:r>
    </w:p>
    <w:p>
      <w:r>
        <w:t xml:space="preserve">(2) Soweit die Gemeinden Träger der Straßenbaulast für Ortsdurchfahrten sind, bedürfen alle Straßenbauvorhaben, die die Planungen, insbesondere die Ausbauabsichten des Trägers der Straßenbaulast für die anschließenden freien Strecken berühren, der vorherigen Zustimmung der Straßenaufsichtsbehörde.</w:t>
      </w:r>
    </w:p>
    <w:p>
      <w:r>
        <w:t xml:space="preserve">(3) Wenn dem Freistaat Bayern oder einem Landkreis die Straßenbaulast für eine Ortsdurchfahrt obliegt, erstreckt sie sich nicht auf Gehwege und Parkplätze. Auf Radwege erstreckt sich die Straßenbaulast des Freistaates Bayern oder eines Landkreises nur, wenn solche auch auf den anschließenden freien Strecken vorhanden oder vorgesehen sind. Führt die Ortsdurchfahrt über Straßen und Plätze, die erheblich breiter angelegt sind, als die Staatsstraße oder Kreisstraße es erfordert, so hat die Straßenbaubehörde die seitliche Begrenzung der Ortsdurchfahrt mit der Gemeinde besonders zu vereinbaren. Kommt keine Vereinbarung zustande, so entscheidet die Regierung.</w:t>
      </w:r>
    </w:p>
    <w:p>
      <w:r>
        <w:t xml:space="preserve">(4) Das Staatsministerium kann im Einvernehmen mit dem Staatsministerium der Finanzen und für und Heimat und nach Anhörung der kommunalen Spitzenverbände durch Rechtsverordnung bestimmen, wie bei gemeinsamen Maßnahmen die Kosten des Baues und der Unterhaltung unter den Trägern der Straßenbaulast aufzuteilen sind. Hierbei ist zu berücksichtigen, inwieweit derartige Maßnahmen den Aufgaben des einen oder des anderen Trägers der Straßenbaulast zu dienen bestimmt sind. Die Rechtsverordnung soll hiervon abweichende Vereinbarungen zwischen den beteiligten Trägern der Straßenbaulast zulassen.</w:t>
      </w:r>
    </w:p>
    <w:p>
      <w:r>
        <w:rPr>
          <w:color w:val="555555"/>
          <w:sz w:val="17"/>
        </w:rPr>
        <w:t xml:space="preserve">Zitiervorschlag: Art 42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